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4C" w:rsidRDefault="00FF434C" w:rsidP="00FF434C">
      <w:pPr>
        <w:jc w:val="center"/>
        <w:rPr>
          <w:sz w:val="32"/>
          <w:szCs w:val="32"/>
        </w:rPr>
      </w:pPr>
      <w:r>
        <w:rPr>
          <w:sz w:val="32"/>
          <w:szCs w:val="32"/>
        </w:rPr>
        <w:t>RAI Indicators List and D</w:t>
      </w:r>
      <w:r w:rsidRPr="00FF434C">
        <w:rPr>
          <w:sz w:val="32"/>
          <w:szCs w:val="32"/>
        </w:rPr>
        <w:t>efinition</w:t>
      </w:r>
      <w:r>
        <w:rPr>
          <w:sz w:val="32"/>
          <w:szCs w:val="32"/>
        </w:rPr>
        <w:t>s</w:t>
      </w:r>
    </w:p>
    <w:p w:rsidR="00FF434C" w:rsidRPr="00FF434C" w:rsidRDefault="00FF434C" w:rsidP="00FF434C">
      <w:pPr>
        <w:jc w:val="center"/>
        <w:rPr>
          <w:sz w:val="32"/>
          <w:szCs w:val="32"/>
        </w:rPr>
      </w:pPr>
    </w:p>
    <w:p w:rsidR="00FF434C" w:rsidRPr="00FF434C" w:rsidRDefault="00FF434C" w:rsidP="00FF434C">
      <w:pPr>
        <w:rPr>
          <w:i/>
          <w:iCs/>
          <w:sz w:val="20"/>
          <w:szCs w:val="20"/>
        </w:rPr>
      </w:pPr>
      <w:r w:rsidRPr="00FF434C">
        <w:rPr>
          <w:i/>
          <w:iCs/>
          <w:sz w:val="20"/>
          <w:szCs w:val="20"/>
          <w:lang w:val="en-GB"/>
        </w:rPr>
        <w:t xml:space="preserve">The </w:t>
      </w:r>
      <w:r w:rsidRPr="00FF434C">
        <w:rPr>
          <w:i/>
          <w:iCs/>
          <w:sz w:val="20"/>
          <w:szCs w:val="20"/>
          <w:lang w:val="en-GB"/>
        </w:rPr>
        <w:t xml:space="preserve">indicators </w:t>
      </w:r>
      <w:r w:rsidRPr="00FF434C">
        <w:rPr>
          <w:i/>
          <w:iCs/>
          <w:sz w:val="20"/>
          <w:szCs w:val="20"/>
          <w:lang w:val="en-GB"/>
        </w:rPr>
        <w:t>in red are not standard and were recommended by the consultants, thus we need to work on their definitions together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9"/>
        <w:gridCol w:w="8763"/>
      </w:tblGrid>
      <w:tr w:rsidR="00FF434C" w:rsidTr="00E6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shd w:val="clear" w:color="auto" w:fill="548DD4" w:themeFill="text2" w:themeFillTint="99"/>
            <w:hideMark/>
          </w:tcPr>
          <w:p w:rsidR="00FF434C" w:rsidRDefault="00FF434C">
            <w:pPr>
              <w:rPr>
                <w:rFonts w:cs="Calibri"/>
              </w:rPr>
            </w:pPr>
            <w:r>
              <w:rPr>
                <w:b w:val="0"/>
                <w:bCs w:val="0"/>
              </w:rPr>
              <w:t>Impact indicators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</w:rPr>
            </w:pPr>
            <w:r>
              <w:t>1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Confirmed falciparum malaria cases (microscopy or RDT) per 1000 persons per year (disaggregated by source).</w:t>
            </w:r>
          </w:p>
        </w:tc>
      </w:tr>
      <w:tr w:rsidR="00FF434C" w:rsidTr="00E6412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Either...  % of administrative units with falciparum incidence &lt;1/1,000, or… % of administrative units with falciparum incidence &lt;0.1/1,000. 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% of indigenous cases among investigated case (applies only to low endemic areas… to be defined).</w:t>
            </w:r>
          </w:p>
        </w:tc>
      </w:tr>
      <w:tr w:rsidR="00FF434C" w:rsidTr="00E641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shd w:val="clear" w:color="auto" w:fill="548DD4" w:themeFill="text2" w:themeFillTint="99"/>
            <w:hideMark/>
          </w:tcPr>
          <w:p w:rsidR="00FF434C" w:rsidRDefault="00FF434C">
            <w:pPr>
              <w:rPr>
                <w:rFonts w:cs="Calibri"/>
              </w:rPr>
            </w:pPr>
            <w:r w:rsidRPr="00E64127">
              <w:rPr>
                <w:b w:val="0"/>
                <w:bCs w:val="0"/>
                <w:color w:val="FFFFFF" w:themeColor="background1"/>
              </w:rPr>
              <w:t>Outcome indicators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% of mobile people that used an ITN the last time they slept in transmission areas (disaggregated by category of mobile/migrant person)</w:t>
            </w:r>
            <w:proofErr w:type="gramStart"/>
            <w:r>
              <w:rPr>
                <w:color w:val="C00000"/>
              </w:rPr>
              <w:t>  (</w:t>
            </w:r>
            <w:proofErr w:type="gramEnd"/>
            <w:r>
              <w:rPr>
                <w:color w:val="C00000"/>
              </w:rPr>
              <w:t>special regional survey year 1 &amp; 3).</w:t>
            </w:r>
          </w:p>
        </w:tc>
      </w:tr>
      <w:tr w:rsidR="00FF434C" w:rsidTr="00E641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shd w:val="clear" w:color="auto" w:fill="548DD4" w:themeFill="text2" w:themeFillTint="99"/>
            <w:hideMark/>
          </w:tcPr>
          <w:p w:rsidR="00FF434C" w:rsidRPr="00E64127" w:rsidRDefault="00FF434C">
            <w:pPr>
              <w:rPr>
                <w:rFonts w:cs="Calibri"/>
                <w:color w:val="FFFFFF" w:themeColor="background1"/>
              </w:rPr>
            </w:pPr>
            <w:r w:rsidRPr="00E64127">
              <w:rPr>
                <w:b w:val="0"/>
                <w:bCs w:val="0"/>
                <w:color w:val="FFFFFF" w:themeColor="background1"/>
              </w:rPr>
              <w:t>Coverage/Output indicators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</w:rPr>
            </w:pPr>
            <w:r>
              <w:t>1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#  of ITNs/LLINs distributed to at-risk populations through mass campaigns</w:t>
            </w:r>
          </w:p>
        </w:tc>
      </w:tr>
      <w:tr w:rsidR="00FF434C" w:rsidTr="00E641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</w:rPr>
            </w:pPr>
            <w:r>
              <w:t>2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 xml:space="preserve"># &amp; % of population at risk potentially covered by ITNs distributed 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</w:rPr>
            </w:pPr>
            <w:r>
              <w:t>3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% of suspected malaria cases that receive a parasitological test (numerator and denominator presented in results)</w:t>
            </w:r>
          </w:p>
        </w:tc>
      </w:tr>
      <w:tr w:rsidR="00FF434C" w:rsidTr="00E6412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</w:rPr>
            </w:pPr>
            <w:r>
              <w:t>4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% of confirmed malaria cases that received first-line antimalarial treatment according to national policy (numerator and denominator presented in results)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</w:rPr>
            </w:pPr>
            <w:r>
              <w:t>5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% of confirmed cases in low endemic areas fully investigated.</w:t>
            </w:r>
          </w:p>
        </w:tc>
      </w:tr>
      <w:tr w:rsidR="00FF434C" w:rsidTr="00E64127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% of public sector health facilities or private sector sites without stock-outs of key commodities lasting more than one week in the last three months (also report on community health workers with no stock-outs) (based on random representative sample to be agreed with GF).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% of confirmed transmission foci that received an appropriate response (screening and IRS, LLIN top-up and/or treatment).</w:t>
            </w:r>
          </w:p>
        </w:tc>
      </w:tr>
      <w:tr w:rsidR="00FF434C" w:rsidTr="00E641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#</w:t>
            </w:r>
            <w:proofErr w:type="gramStart"/>
            <w:r>
              <w:rPr>
                <w:color w:val="C00000"/>
              </w:rPr>
              <w:t>  &amp;</w:t>
            </w:r>
            <w:proofErr w:type="gramEnd"/>
            <w:r>
              <w:rPr>
                <w:color w:val="C00000"/>
              </w:rPr>
              <w:t xml:space="preserve"> % of targeted communities with community-based diagnostic and treatment services.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% of confirmed falciparum malaria cases receiving DOT (disaggregated by tier).</w:t>
            </w:r>
          </w:p>
        </w:tc>
      </w:tr>
      <w:tr w:rsidR="00FF434C" w:rsidTr="00E6412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10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% of mobile population with fever in the last 3 months that accessed parasite-based diagnosis (special regional survey year 1 &amp; 3).</w:t>
            </w:r>
          </w:p>
        </w:tc>
      </w:tr>
      <w:tr w:rsidR="00FF434C" w:rsidTr="00E6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dxa"/>
            <w:noWrap/>
            <w:hideMark/>
          </w:tcPr>
          <w:p w:rsidR="00FF434C" w:rsidRDefault="00FF434C">
            <w:pPr>
              <w:rPr>
                <w:rFonts w:cs="Calibri"/>
                <w:color w:val="C00000"/>
              </w:rPr>
            </w:pPr>
            <w:r>
              <w:rPr>
                <w:color w:val="C00000"/>
              </w:rPr>
              <w:t>11</w:t>
            </w:r>
          </w:p>
        </w:tc>
        <w:tc>
          <w:tcPr>
            <w:tcW w:w="8763" w:type="dxa"/>
            <w:hideMark/>
          </w:tcPr>
          <w:p w:rsidR="00FF434C" w:rsidRDefault="00FF4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% of private sector outlets stocking oral </w:t>
            </w:r>
            <w:proofErr w:type="spellStart"/>
            <w:r>
              <w:rPr>
                <w:color w:val="C00000"/>
              </w:rPr>
              <w:t>artemisinin</w:t>
            </w:r>
            <w:proofErr w:type="spellEnd"/>
            <w:r>
              <w:rPr>
                <w:color w:val="C00000"/>
              </w:rPr>
              <w:t xml:space="preserve">-based </w:t>
            </w:r>
            <w:proofErr w:type="spellStart"/>
            <w:r>
              <w:rPr>
                <w:color w:val="C00000"/>
              </w:rPr>
              <w:t>monotherapies</w:t>
            </w:r>
            <w:proofErr w:type="spellEnd"/>
            <w:r>
              <w:rPr>
                <w:color w:val="C00000"/>
              </w:rPr>
              <w:t xml:space="preserve"> (special regional survey year 1 &amp; 3).</w:t>
            </w:r>
          </w:p>
        </w:tc>
      </w:tr>
    </w:tbl>
    <w:p w:rsidR="00FF434C" w:rsidRDefault="00FF434C"/>
    <w:p w:rsidR="00FF434C" w:rsidRDefault="00FF434C"/>
    <w:p w:rsidR="00FF434C" w:rsidRDefault="00FF434C"/>
    <w:p w:rsidR="00E64127" w:rsidRDefault="00E64127"/>
    <w:p w:rsidR="00E64127" w:rsidRDefault="00E64127"/>
    <w:p w:rsidR="00E64127" w:rsidRPr="00E64127" w:rsidRDefault="00E64127">
      <w:pPr>
        <w:rPr>
          <w:sz w:val="28"/>
          <w:szCs w:val="28"/>
        </w:rPr>
      </w:pPr>
      <w:r w:rsidRPr="00E64127">
        <w:rPr>
          <w:sz w:val="28"/>
          <w:szCs w:val="28"/>
        </w:rPr>
        <w:lastRenderedPageBreak/>
        <w:t>Indicator Definition:</w:t>
      </w:r>
    </w:p>
    <w:p w:rsidR="007D282D" w:rsidRDefault="007D282D">
      <w:r>
        <w:t xml:space="preserve">Impact </w:t>
      </w:r>
    </w:p>
    <w:p w:rsidR="00551B24" w:rsidRDefault="00E64127" w:rsidP="007D282D">
      <w:pPr>
        <w:pStyle w:val="ListParagraph"/>
        <w:numPr>
          <w:ilvl w:val="0"/>
          <w:numId w:val="1"/>
        </w:numPr>
      </w:pPr>
      <w:r w:rsidRPr="00E6412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9E793F" wp14:editId="379E062F">
            <wp:simplePos x="0" y="0"/>
            <wp:positionH relativeFrom="column">
              <wp:posOffset>-342900</wp:posOffset>
            </wp:positionH>
            <wp:positionV relativeFrom="paragraph">
              <wp:posOffset>353695</wp:posOffset>
            </wp:positionV>
            <wp:extent cx="6693535" cy="5153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82D" w:rsidRPr="007D282D">
        <w:t>Confirmed falciparum malaria cases</w:t>
      </w:r>
    </w:p>
    <w:p w:rsidR="00130996" w:rsidRDefault="00130996"/>
    <w:p w:rsidR="00130996" w:rsidRDefault="00130996" w:rsidP="00E64127">
      <w:pPr>
        <w:jc w:val="center"/>
      </w:pPr>
    </w:p>
    <w:p w:rsidR="00E042B1" w:rsidRDefault="00E042B1"/>
    <w:p w:rsidR="00E042B1" w:rsidRDefault="00E042B1"/>
    <w:p w:rsidR="00130996" w:rsidRDefault="00E042B1">
      <w:r>
        <w:rPr>
          <w:noProof/>
        </w:rPr>
        <w:lastRenderedPageBreak/>
        <w:drawing>
          <wp:inline distT="0" distB="0" distL="0" distR="0">
            <wp:extent cx="6305550" cy="2324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82D" w:rsidRDefault="007D282D"/>
    <w:p w:rsidR="007D282D" w:rsidRDefault="007D282D">
      <w:r>
        <w:t>Coverage indicators:</w:t>
      </w:r>
    </w:p>
    <w:p w:rsidR="007D282D" w:rsidRDefault="007D282D" w:rsidP="007D282D">
      <w:pPr>
        <w:pStyle w:val="ListParagraph"/>
        <w:numPr>
          <w:ilvl w:val="0"/>
          <w:numId w:val="2"/>
        </w:numPr>
      </w:pPr>
      <w:r w:rsidRPr="007D282D">
        <w:t>#  of ITNs/LLINs distributed to at-risk populations through mass campaigns</w:t>
      </w:r>
    </w:p>
    <w:p w:rsidR="00130996" w:rsidRDefault="00130996">
      <w:r>
        <w:rPr>
          <w:noProof/>
        </w:rPr>
        <w:drawing>
          <wp:inline distT="0" distB="0" distL="0" distR="0">
            <wp:extent cx="6172200" cy="3733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6" w:rsidRDefault="00130996"/>
    <w:p w:rsidR="00130996" w:rsidRDefault="00130996"/>
    <w:p w:rsidR="00130996" w:rsidRDefault="007D282D" w:rsidP="007D282D">
      <w:pPr>
        <w:pStyle w:val="ListParagraph"/>
        <w:numPr>
          <w:ilvl w:val="0"/>
          <w:numId w:val="2"/>
        </w:numPr>
      </w:pPr>
      <w:r w:rsidRPr="007D282D">
        <w:t># &amp; % of population at risk potentially covered by ITNs distributed</w:t>
      </w:r>
    </w:p>
    <w:p w:rsidR="00130996" w:rsidRDefault="00130996">
      <w:r>
        <w:rPr>
          <w:noProof/>
        </w:rPr>
        <w:lastRenderedPageBreak/>
        <w:drawing>
          <wp:inline distT="0" distB="0" distL="0" distR="0">
            <wp:extent cx="6334125" cy="3514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6" w:rsidRDefault="00130996"/>
    <w:p w:rsidR="00130996" w:rsidRDefault="007D282D" w:rsidP="007D282D">
      <w:pPr>
        <w:pStyle w:val="ListParagraph"/>
        <w:numPr>
          <w:ilvl w:val="0"/>
          <w:numId w:val="2"/>
        </w:numPr>
      </w:pPr>
      <w:r w:rsidRPr="007D282D">
        <w:t>% of suspected malaria cases that receive a parasitological test</w:t>
      </w:r>
    </w:p>
    <w:p w:rsidR="00130996" w:rsidRDefault="00130996">
      <w:r>
        <w:rPr>
          <w:noProof/>
        </w:rPr>
        <w:drawing>
          <wp:inline distT="0" distB="0" distL="0" distR="0">
            <wp:extent cx="6257925" cy="3467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6" w:rsidRDefault="00130996"/>
    <w:p w:rsidR="00E64127" w:rsidRDefault="00E64127"/>
    <w:p w:rsidR="007D282D" w:rsidRDefault="007D282D" w:rsidP="007D282D">
      <w:pPr>
        <w:pStyle w:val="ListParagraph"/>
        <w:numPr>
          <w:ilvl w:val="0"/>
          <w:numId w:val="2"/>
        </w:numPr>
      </w:pPr>
      <w:r w:rsidRPr="007D282D">
        <w:t>% of confirmed malaria cases that received first-line antimalarial treatment according to national policy</w:t>
      </w:r>
    </w:p>
    <w:p w:rsidR="007D282D" w:rsidRDefault="007D282D" w:rsidP="007D282D">
      <w:r>
        <w:rPr>
          <w:noProof/>
        </w:rPr>
        <w:lastRenderedPageBreak/>
        <w:drawing>
          <wp:inline distT="0" distB="0" distL="0" distR="0" wp14:anchorId="7DA9A438" wp14:editId="700DF8B1">
            <wp:extent cx="6429375" cy="4733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82D" w:rsidRDefault="007D282D" w:rsidP="007D282D">
      <w:pPr>
        <w:pStyle w:val="ListParagraph"/>
        <w:numPr>
          <w:ilvl w:val="0"/>
          <w:numId w:val="2"/>
        </w:numPr>
      </w:pPr>
      <w:r w:rsidRPr="007D282D">
        <w:t>% of confirmed cases in low endemic areas fully investigated</w:t>
      </w:r>
    </w:p>
    <w:p w:rsidR="007D282D" w:rsidRDefault="007D282D"/>
    <w:p w:rsidR="007D282D" w:rsidRDefault="007D282D"/>
    <w:p w:rsidR="00130996" w:rsidRDefault="00130996">
      <w:r>
        <w:rPr>
          <w:noProof/>
        </w:rPr>
        <w:drawing>
          <wp:inline distT="0" distB="0" distL="0" distR="0">
            <wp:extent cx="6381750" cy="2781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2B1" w:rsidRDefault="00E042B1">
      <w:bookmarkStart w:id="0" w:name="_GoBack"/>
      <w:bookmarkEnd w:id="0"/>
    </w:p>
    <w:sectPr w:rsidR="00E042B1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27" w:rsidRDefault="00E64127" w:rsidP="00E64127">
      <w:pPr>
        <w:spacing w:after="0"/>
      </w:pPr>
      <w:r>
        <w:separator/>
      </w:r>
    </w:p>
  </w:endnote>
  <w:endnote w:type="continuationSeparator" w:id="0">
    <w:p w:rsidR="00E64127" w:rsidRDefault="00E64127" w:rsidP="00E64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176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4127" w:rsidRDefault="00E641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64127" w:rsidRDefault="00E64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27" w:rsidRDefault="00E64127" w:rsidP="00E64127">
      <w:pPr>
        <w:spacing w:after="0"/>
      </w:pPr>
      <w:r>
        <w:separator/>
      </w:r>
    </w:p>
  </w:footnote>
  <w:footnote w:type="continuationSeparator" w:id="0">
    <w:p w:rsidR="00E64127" w:rsidRDefault="00E64127" w:rsidP="00E641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8AE"/>
    <w:multiLevelType w:val="hybridMultilevel"/>
    <w:tmpl w:val="3FAAB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A6972"/>
    <w:multiLevelType w:val="hybridMultilevel"/>
    <w:tmpl w:val="C540A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96"/>
    <w:rsid w:val="00012E92"/>
    <w:rsid w:val="0001362B"/>
    <w:rsid w:val="000157C8"/>
    <w:rsid w:val="00025A96"/>
    <w:rsid w:val="00027DBA"/>
    <w:rsid w:val="000458B4"/>
    <w:rsid w:val="000509F0"/>
    <w:rsid w:val="000A3F31"/>
    <w:rsid w:val="000B5033"/>
    <w:rsid w:val="000D3884"/>
    <w:rsid w:val="000E7C7B"/>
    <w:rsid w:val="00130996"/>
    <w:rsid w:val="001337B8"/>
    <w:rsid w:val="0015119A"/>
    <w:rsid w:val="00161364"/>
    <w:rsid w:val="00161D27"/>
    <w:rsid w:val="00165059"/>
    <w:rsid w:val="001816EE"/>
    <w:rsid w:val="00183AAC"/>
    <w:rsid w:val="00195689"/>
    <w:rsid w:val="001A11E9"/>
    <w:rsid w:val="001C2277"/>
    <w:rsid w:val="001C6783"/>
    <w:rsid w:val="001D51CE"/>
    <w:rsid w:val="001D7959"/>
    <w:rsid w:val="001E207C"/>
    <w:rsid w:val="001F4299"/>
    <w:rsid w:val="00263AB9"/>
    <w:rsid w:val="0027455B"/>
    <w:rsid w:val="00292BF1"/>
    <w:rsid w:val="002B23B1"/>
    <w:rsid w:val="002C400D"/>
    <w:rsid w:val="002D3B86"/>
    <w:rsid w:val="0030754E"/>
    <w:rsid w:val="003134F1"/>
    <w:rsid w:val="00314B09"/>
    <w:rsid w:val="003237C4"/>
    <w:rsid w:val="00331E34"/>
    <w:rsid w:val="0035772C"/>
    <w:rsid w:val="0036790D"/>
    <w:rsid w:val="00387230"/>
    <w:rsid w:val="00394F46"/>
    <w:rsid w:val="0039677D"/>
    <w:rsid w:val="003A5EF1"/>
    <w:rsid w:val="003B6F18"/>
    <w:rsid w:val="003C3656"/>
    <w:rsid w:val="003C36B2"/>
    <w:rsid w:val="003C76CB"/>
    <w:rsid w:val="003D7A56"/>
    <w:rsid w:val="003F4833"/>
    <w:rsid w:val="004079CF"/>
    <w:rsid w:val="0044383C"/>
    <w:rsid w:val="004678A5"/>
    <w:rsid w:val="00467C66"/>
    <w:rsid w:val="0049742A"/>
    <w:rsid w:val="004A7525"/>
    <w:rsid w:val="004B3976"/>
    <w:rsid w:val="004B678E"/>
    <w:rsid w:val="004B6EAF"/>
    <w:rsid w:val="004D5326"/>
    <w:rsid w:val="0050391E"/>
    <w:rsid w:val="0052079A"/>
    <w:rsid w:val="005315AD"/>
    <w:rsid w:val="00540452"/>
    <w:rsid w:val="00541FA8"/>
    <w:rsid w:val="005430E2"/>
    <w:rsid w:val="00553C89"/>
    <w:rsid w:val="00563870"/>
    <w:rsid w:val="005653B7"/>
    <w:rsid w:val="00577061"/>
    <w:rsid w:val="00580352"/>
    <w:rsid w:val="0058532B"/>
    <w:rsid w:val="00597560"/>
    <w:rsid w:val="005B2BBB"/>
    <w:rsid w:val="005C74C7"/>
    <w:rsid w:val="005D05EB"/>
    <w:rsid w:val="00605E7D"/>
    <w:rsid w:val="00611D14"/>
    <w:rsid w:val="00642E2D"/>
    <w:rsid w:val="00650743"/>
    <w:rsid w:val="0069281C"/>
    <w:rsid w:val="006B5CF2"/>
    <w:rsid w:val="006E6997"/>
    <w:rsid w:val="006F2498"/>
    <w:rsid w:val="00705D0F"/>
    <w:rsid w:val="00714133"/>
    <w:rsid w:val="007161B5"/>
    <w:rsid w:val="00722B7A"/>
    <w:rsid w:val="007275CD"/>
    <w:rsid w:val="00743F46"/>
    <w:rsid w:val="007874EC"/>
    <w:rsid w:val="0079166C"/>
    <w:rsid w:val="00796AA0"/>
    <w:rsid w:val="007A5D56"/>
    <w:rsid w:val="007B0BE9"/>
    <w:rsid w:val="007C72B1"/>
    <w:rsid w:val="007C74B5"/>
    <w:rsid w:val="007C7570"/>
    <w:rsid w:val="007D282D"/>
    <w:rsid w:val="007D6375"/>
    <w:rsid w:val="00811232"/>
    <w:rsid w:val="00814CEE"/>
    <w:rsid w:val="00835EA6"/>
    <w:rsid w:val="00851AEC"/>
    <w:rsid w:val="00874482"/>
    <w:rsid w:val="00881D42"/>
    <w:rsid w:val="0088430B"/>
    <w:rsid w:val="00884818"/>
    <w:rsid w:val="00885C6E"/>
    <w:rsid w:val="00885F5C"/>
    <w:rsid w:val="00893786"/>
    <w:rsid w:val="00893C84"/>
    <w:rsid w:val="00895CE1"/>
    <w:rsid w:val="008B1C91"/>
    <w:rsid w:val="008B260A"/>
    <w:rsid w:val="008D0BA2"/>
    <w:rsid w:val="008D7AF9"/>
    <w:rsid w:val="008E72E8"/>
    <w:rsid w:val="00913D4F"/>
    <w:rsid w:val="00932D8A"/>
    <w:rsid w:val="0094011D"/>
    <w:rsid w:val="00944673"/>
    <w:rsid w:val="00944F55"/>
    <w:rsid w:val="00952B90"/>
    <w:rsid w:val="00972234"/>
    <w:rsid w:val="00985B02"/>
    <w:rsid w:val="00994690"/>
    <w:rsid w:val="009949F6"/>
    <w:rsid w:val="0099516C"/>
    <w:rsid w:val="009A4DD1"/>
    <w:rsid w:val="009D163A"/>
    <w:rsid w:val="009F7E6A"/>
    <w:rsid w:val="00A06E96"/>
    <w:rsid w:val="00A2772D"/>
    <w:rsid w:val="00A4606A"/>
    <w:rsid w:val="00A652D7"/>
    <w:rsid w:val="00A657A6"/>
    <w:rsid w:val="00A7482A"/>
    <w:rsid w:val="00A91CF2"/>
    <w:rsid w:val="00A931E6"/>
    <w:rsid w:val="00AB35DF"/>
    <w:rsid w:val="00AC44E8"/>
    <w:rsid w:val="00AC7A58"/>
    <w:rsid w:val="00AD3FE6"/>
    <w:rsid w:val="00AD4177"/>
    <w:rsid w:val="00AD6DF2"/>
    <w:rsid w:val="00AD734C"/>
    <w:rsid w:val="00AF1610"/>
    <w:rsid w:val="00B270EE"/>
    <w:rsid w:val="00B328B3"/>
    <w:rsid w:val="00B53DC9"/>
    <w:rsid w:val="00B71D5E"/>
    <w:rsid w:val="00B86BC6"/>
    <w:rsid w:val="00B87D30"/>
    <w:rsid w:val="00BA562B"/>
    <w:rsid w:val="00BC34AE"/>
    <w:rsid w:val="00BD2823"/>
    <w:rsid w:val="00BD4ACA"/>
    <w:rsid w:val="00C10A90"/>
    <w:rsid w:val="00C16CBA"/>
    <w:rsid w:val="00C25C45"/>
    <w:rsid w:val="00C43B75"/>
    <w:rsid w:val="00C449EA"/>
    <w:rsid w:val="00C717ED"/>
    <w:rsid w:val="00C73DED"/>
    <w:rsid w:val="00C84C1A"/>
    <w:rsid w:val="00C918C9"/>
    <w:rsid w:val="00C918F4"/>
    <w:rsid w:val="00C96898"/>
    <w:rsid w:val="00CD7FB0"/>
    <w:rsid w:val="00D17F65"/>
    <w:rsid w:val="00D231FF"/>
    <w:rsid w:val="00D248FF"/>
    <w:rsid w:val="00D51123"/>
    <w:rsid w:val="00D53CF4"/>
    <w:rsid w:val="00D56B4E"/>
    <w:rsid w:val="00D74EB1"/>
    <w:rsid w:val="00D86C03"/>
    <w:rsid w:val="00DB393A"/>
    <w:rsid w:val="00DD4B3E"/>
    <w:rsid w:val="00E042B1"/>
    <w:rsid w:val="00E04452"/>
    <w:rsid w:val="00E26340"/>
    <w:rsid w:val="00E312DB"/>
    <w:rsid w:val="00E42792"/>
    <w:rsid w:val="00E64127"/>
    <w:rsid w:val="00E75990"/>
    <w:rsid w:val="00E7772A"/>
    <w:rsid w:val="00E848F1"/>
    <w:rsid w:val="00E97061"/>
    <w:rsid w:val="00EB7DCE"/>
    <w:rsid w:val="00EE2967"/>
    <w:rsid w:val="00EE7A0E"/>
    <w:rsid w:val="00F23450"/>
    <w:rsid w:val="00F32DE5"/>
    <w:rsid w:val="00F4694B"/>
    <w:rsid w:val="00F54619"/>
    <w:rsid w:val="00F7050C"/>
    <w:rsid w:val="00F71F63"/>
    <w:rsid w:val="00F95378"/>
    <w:rsid w:val="00F9702A"/>
    <w:rsid w:val="00FA26AF"/>
    <w:rsid w:val="00FA4489"/>
    <w:rsid w:val="00FA7202"/>
    <w:rsid w:val="00FB2626"/>
    <w:rsid w:val="00FE312F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70"/>
    <w:pPr>
      <w:spacing w:after="120" w:line="240" w:lineRule="auto"/>
    </w:pPr>
    <w:rPr>
      <w:rFonts w:ascii="Georgia" w:hAnsi="Georg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99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9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D282D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E641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41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4127"/>
    <w:rPr>
      <w:rFonts w:ascii="Georgia" w:hAnsi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41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4127"/>
    <w:rPr>
      <w:rFonts w:ascii="Georgia" w:hAnsi="Georg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70"/>
    <w:pPr>
      <w:spacing w:after="120" w:line="240" w:lineRule="auto"/>
    </w:pPr>
    <w:rPr>
      <w:rFonts w:ascii="Georgia" w:hAnsi="Georg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99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9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D282D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E641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41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4127"/>
    <w:rPr>
      <w:rFonts w:ascii="Georgia" w:hAnsi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41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4127"/>
    <w:rPr>
      <w:rFonts w:ascii="Georgia" w:hAnsi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Global Fund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Kuzmanovska</dc:creator>
  <cp:lastModifiedBy>Eisa H HAMID</cp:lastModifiedBy>
  <cp:revision>4</cp:revision>
  <dcterms:created xsi:type="dcterms:W3CDTF">2013-10-15T09:21:00Z</dcterms:created>
  <dcterms:modified xsi:type="dcterms:W3CDTF">2013-10-15T09:58:00Z</dcterms:modified>
</cp:coreProperties>
</file>